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bookmarkStart w:id="0" w:name="_GoBack"/>
      <w:bookmarkEnd w:id="0"/>
      <w:r>
        <w:rPr>
          <w:rFonts w:hint="eastAsia"/>
        </w:rPr>
        <w:t>202</w:t>
      </w:r>
      <w:r>
        <w:rPr>
          <w:rFonts w:hint="default"/>
          <w:lang w:val="en-US"/>
        </w:rPr>
        <w:t>5</w:t>
      </w:r>
      <w:r>
        <w:rPr>
          <w:rFonts w:hint="eastAsia"/>
        </w:rPr>
        <w:t>年</w:t>
      </w: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eastAsia"/>
        </w:rPr>
        <w:t>月</w:t>
      </w:r>
      <w:r>
        <w:rPr>
          <w:rFonts w:hint="eastAsia"/>
          <w:lang w:val="en-US" w:eastAsia="zh-CN"/>
        </w:rPr>
        <w:t>27</w:t>
      </w:r>
      <w:r>
        <w:rPr>
          <w:rFonts w:hint="eastAsia"/>
        </w:rPr>
        <w:t>日</w:t>
      </w:r>
      <w:r>
        <w:rPr>
          <w:rFonts w:hint="eastAsia"/>
          <w:lang w:val="en-US" w:eastAsia="zh-CN"/>
        </w:rPr>
        <w:t>平顶山市</w:t>
      </w:r>
      <w:r>
        <w:rPr>
          <w:rFonts w:hint="eastAsia"/>
        </w:rPr>
        <w:t>市级储备粮</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color="auto" w:fill="FFFFFF"/>
          <w:lang w:val="en-US" w:eastAsia="zh-CN"/>
        </w:rPr>
        <w:t>本交易细则适用于由物流市场组织的市、县（区）级储备粮竞价交易活动和交易当事人。</w:t>
      </w:r>
    </w:p>
    <w:p w14:paraId="3617B2AD">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color="auto"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pPr>
      <w:r>
        <w:rPr>
          <w:rFonts w:hint="eastAsia"/>
        </w:rPr>
        <w:t>第三章 交易时间</w:t>
      </w:r>
    </w:p>
    <w:p w14:paraId="12F5CED0">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pPr>
      <w:r>
        <w:rPr>
          <w:rFonts w:hint="eastAsia"/>
        </w:rPr>
        <w:t>第四章 交易秩序</w:t>
      </w:r>
    </w:p>
    <w:p w14:paraId="78536C55">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color="auto"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color="auto"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color="auto"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color="auto"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color="auto"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w:t>
      </w:r>
      <w:r>
        <w:rPr>
          <w:rFonts w:hint="eastAsia"/>
          <w:lang w:val="en-US" w:eastAsia="zh-CN"/>
        </w:rPr>
        <w:t>5</w:t>
      </w:r>
      <w:r>
        <w:rPr>
          <w:rFonts w:hint="eastAsia"/>
        </w:rPr>
        <w:t>元或</w:t>
      </w:r>
      <w:r>
        <w:rPr>
          <w:rFonts w:hint="eastAsia"/>
          <w:lang w:val="en-US" w:eastAsia="zh-CN"/>
        </w:rPr>
        <w:t>5</w:t>
      </w:r>
      <w:r>
        <w:rPr>
          <w:rFonts w:hint="eastAsia"/>
        </w:rPr>
        <w:t>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color="auto"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color="auto"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color="auto"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1277B"/>
    <w:rsid w:val="1ADA3C11"/>
    <w:rsid w:val="23285BFF"/>
    <w:rsid w:val="283C71BD"/>
    <w:rsid w:val="3B8362C2"/>
    <w:rsid w:val="540B4478"/>
    <w:rsid w:val="59412361"/>
    <w:rsid w:val="60BE75C2"/>
    <w:rsid w:val="66FF0FA0"/>
    <w:rsid w:val="6E3F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Calibri" w:hAnsi="Calibri" w:eastAsia="仿宋" w:cs="宋体"/>
      <w:kern w:val="2"/>
      <w:sz w:val="32"/>
      <w:szCs w:val="24"/>
      <w:lang w:val="en-US" w:eastAsia="zh-CN" w:bidi="ar-SA"/>
    </w:rPr>
  </w:style>
  <w:style w:type="paragraph" w:styleId="2">
    <w:name w:val="heading 1"/>
    <w:basedOn w:val="1"/>
    <w:next w:val="1"/>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rPr>
  </w:style>
  <w:style w:type="paragraph" w:styleId="3">
    <w:name w:val="heading 2"/>
    <w:basedOn w:val="1"/>
    <w:next w:val="1"/>
    <w:link w:val="7"/>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color="auto" w:fill="FFFFFF"/>
      <w:jc w:val="center"/>
      <w:outlineLvl w:val="0"/>
    </w:pPr>
    <w:rPr>
      <w:rFonts w:hint="eastAsia" w:ascii="方正小标宋_GBK" w:hAnsi="方正小标宋_GBK" w:eastAsia="方正小标宋_GBK" w:cs="方正小标宋_GBK"/>
      <w:b/>
      <w:bCs/>
      <w:color w:val="000000"/>
      <w:kern w:val="0"/>
      <w:sz w:val="44"/>
      <w:szCs w:val="44"/>
      <w:shd w:val="clear" w:color="auto"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5479</Characters>
  <Paragraphs>82</Paragraphs>
  <TotalTime>88</TotalTime>
  <ScaleCrop>false</ScaleCrop>
  <LinksUpToDate>false</LinksUpToDate>
  <CharactersWithSpaces>5493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2025-03-21T02:48:13Z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